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0E2" w:rsidRPr="000330E2" w:rsidRDefault="000330E2" w:rsidP="000330E2">
      <w:pPr>
        <w:spacing w:beforeAutospacing="1" w:after="0" w:afterAutospacing="1" w:line="240" w:lineRule="auto"/>
        <w:jc w:val="center"/>
        <w:outlineLvl w:val="0"/>
        <w:rPr>
          <w:rFonts w:asciiTheme="majorBidi" w:eastAsia="Times New Roman" w:hAnsiTheme="majorBidi" w:cstheme="majorBidi"/>
          <w:color w:val="1F1F1F"/>
          <w:kern w:val="36"/>
          <w:sz w:val="24"/>
          <w:szCs w:val="24"/>
          <w:lang w:eastAsia="id-ID"/>
        </w:rPr>
      </w:pPr>
      <w:bookmarkStart w:id="0" w:name="_GoBack"/>
      <w:bookmarkEnd w:id="0"/>
      <w:r w:rsidRPr="000330E2">
        <w:rPr>
          <w:rFonts w:asciiTheme="majorBidi" w:eastAsia="Times New Roman" w:hAnsiTheme="majorBidi" w:cstheme="majorBidi"/>
          <w:color w:val="1F1F1F"/>
          <w:kern w:val="36"/>
          <w:sz w:val="24"/>
          <w:szCs w:val="24"/>
          <w:lang w:eastAsia="id-ID"/>
        </w:rPr>
        <w:t>Self-determination theory perspectives on the influence of digital learning engagement on motivation in extracurricular learning activities: Considering the mediating role of digital self-efficacy</w:t>
      </w:r>
    </w:p>
    <w:p w:rsidR="000330E2" w:rsidRPr="000330E2" w:rsidRDefault="000330E2" w:rsidP="000330E2">
      <w:pPr>
        <w:spacing w:after="0" w:line="240" w:lineRule="auto"/>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bdr w:val="none" w:sz="0" w:space="0" w:color="auto" w:frame="1"/>
          <w:lang w:eastAsia="id-ID"/>
        </w:rPr>
        <w:t>Author</w:t>
      </w:r>
      <w:r>
        <w:rPr>
          <w:rFonts w:asciiTheme="majorBidi" w:eastAsia="Times New Roman" w:hAnsiTheme="majorBidi" w:cstheme="majorBidi"/>
          <w:color w:val="1F1F1F"/>
          <w:sz w:val="24"/>
          <w:szCs w:val="24"/>
          <w:bdr w:val="none" w:sz="0" w:space="0" w:color="auto" w:frame="1"/>
          <w:lang w:eastAsia="id-ID"/>
        </w:rPr>
        <w:t xml:space="preserve">: </w:t>
      </w:r>
      <w:r w:rsidRPr="000330E2">
        <w:rPr>
          <w:rFonts w:asciiTheme="majorBidi" w:eastAsia="Times New Roman" w:hAnsiTheme="majorBidi" w:cstheme="majorBidi"/>
          <w:color w:val="1F1F1F"/>
          <w:sz w:val="24"/>
          <w:szCs w:val="24"/>
          <w:lang w:eastAsia="id-ID"/>
        </w:rPr>
        <w:t>Diwen Dong</w:t>
      </w:r>
    </w:p>
    <w:p w:rsidR="000330E2" w:rsidRPr="000330E2" w:rsidRDefault="000330E2" w:rsidP="000330E2">
      <w:pPr>
        <w:spacing w:after="0" w:line="330" w:lineRule="atLeast"/>
        <w:jc w:val="both"/>
        <w:rPr>
          <w:rFonts w:asciiTheme="majorBidi" w:eastAsia="Times New Roman" w:hAnsiTheme="majorBidi" w:cstheme="majorBidi"/>
          <w:color w:val="1F1F1F"/>
          <w:sz w:val="24"/>
          <w:szCs w:val="24"/>
          <w:lang w:eastAsia="id-ID"/>
        </w:rPr>
      </w:pPr>
      <w:hyperlink r:id="rId4" w:tgtFrame="_blank" w:tooltip="Persistent link using digital object identifier" w:history="1">
        <w:r w:rsidRPr="000330E2">
          <w:rPr>
            <w:rFonts w:asciiTheme="majorBidi" w:eastAsia="Times New Roman" w:hAnsiTheme="majorBidi" w:cstheme="majorBidi"/>
            <w:color w:val="0272B1"/>
            <w:sz w:val="24"/>
            <w:szCs w:val="24"/>
            <w:lang w:eastAsia="id-ID"/>
          </w:rPr>
          <w:t>https://doi.org/10.1016/j.lmot.2025.102135</w:t>
        </w:r>
      </w:hyperlink>
      <w:hyperlink r:id="rId5" w:tgtFrame="_blank" w:history="1">
        <w:r w:rsidRPr="000330E2">
          <w:rPr>
            <w:rFonts w:asciiTheme="majorBidi" w:eastAsia="Times New Roman" w:hAnsiTheme="majorBidi" w:cstheme="majorBidi"/>
            <w:color w:val="0272B1"/>
            <w:sz w:val="24"/>
            <w:szCs w:val="24"/>
            <w:lang w:eastAsia="id-ID"/>
          </w:rPr>
          <w:t>Get rights and content</w:t>
        </w:r>
      </w:hyperlink>
    </w:p>
    <w:p w:rsidR="000330E2" w:rsidRPr="000330E2" w:rsidRDefault="000330E2" w:rsidP="000330E2">
      <w:pPr>
        <w:spacing w:before="100" w:beforeAutospacing="1" w:after="100" w:afterAutospacing="1" w:line="390" w:lineRule="atLeast"/>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Abstract</w:t>
      </w:r>
    </w:p>
    <w:p w:rsidR="000330E2" w:rsidRPr="000330E2" w:rsidRDefault="000330E2" w:rsidP="000330E2">
      <w:pPr>
        <w:spacing w:after="12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The increasing integration of </w:t>
      </w:r>
      <w:hyperlink r:id="rId6" w:history="1">
        <w:r w:rsidRPr="000330E2">
          <w:rPr>
            <w:rFonts w:asciiTheme="majorBidi" w:eastAsia="Times New Roman" w:hAnsiTheme="majorBidi" w:cstheme="majorBidi"/>
            <w:color w:val="1F1F1F"/>
            <w:sz w:val="24"/>
            <w:szCs w:val="24"/>
            <w:u w:val="single"/>
            <w:lang w:eastAsia="id-ID"/>
          </w:rPr>
          <w:t>digital media</w:t>
        </w:r>
      </w:hyperlink>
      <w:r w:rsidRPr="000330E2">
        <w:rPr>
          <w:rFonts w:asciiTheme="majorBidi" w:eastAsia="Times New Roman" w:hAnsiTheme="majorBidi" w:cstheme="majorBidi"/>
          <w:color w:val="1F1F1F"/>
          <w:sz w:val="24"/>
          <w:szCs w:val="24"/>
          <w:lang w:eastAsia="id-ID"/>
        </w:rPr>
        <w:t> in educational settings has generated considerable interest in exploring its effects on learners' engagement, motivation, and digital self-efficacy, particularly within extracurricular learning activities (ELAs). Understanding how these constructs interact in extracurricular settings is crucial. This research, anchored in Self-Determination Theory (SDT), aimed to investigate the connection between engagement with </w:t>
      </w:r>
      <w:hyperlink r:id="rId7" w:history="1">
        <w:r w:rsidRPr="000330E2">
          <w:rPr>
            <w:rFonts w:asciiTheme="majorBidi" w:eastAsia="Times New Roman" w:hAnsiTheme="majorBidi" w:cstheme="majorBidi"/>
            <w:color w:val="1F1F1F"/>
            <w:sz w:val="24"/>
            <w:szCs w:val="24"/>
            <w:u w:val="single"/>
            <w:lang w:eastAsia="id-ID"/>
          </w:rPr>
          <w:t>digital media</w:t>
        </w:r>
      </w:hyperlink>
      <w:r w:rsidRPr="000330E2">
        <w:rPr>
          <w:rFonts w:asciiTheme="majorBidi" w:eastAsia="Times New Roman" w:hAnsiTheme="majorBidi" w:cstheme="majorBidi"/>
          <w:color w:val="1F1F1F"/>
          <w:sz w:val="24"/>
          <w:szCs w:val="24"/>
          <w:lang w:eastAsia="id-ID"/>
        </w:rPr>
        <w:t> and motivation in the ELAs, emphasizing the mediating function of digital self-efficacy in China. Utilizing a quantitative research methodology, data collected from 286 </w:t>
      </w:r>
      <w:hyperlink r:id="rId8" w:history="1">
        <w:r w:rsidRPr="000330E2">
          <w:rPr>
            <w:rFonts w:asciiTheme="majorBidi" w:eastAsia="Times New Roman" w:hAnsiTheme="majorBidi" w:cstheme="majorBidi"/>
            <w:color w:val="1F1F1F"/>
            <w:sz w:val="24"/>
            <w:szCs w:val="24"/>
            <w:u w:val="single"/>
            <w:lang w:eastAsia="id-ID"/>
          </w:rPr>
          <w:t>secondary school students</w:t>
        </w:r>
      </w:hyperlink>
      <w:r w:rsidRPr="000330E2">
        <w:rPr>
          <w:rFonts w:asciiTheme="majorBidi" w:eastAsia="Times New Roman" w:hAnsiTheme="majorBidi" w:cstheme="majorBidi"/>
          <w:color w:val="1F1F1F"/>
          <w:sz w:val="24"/>
          <w:szCs w:val="24"/>
          <w:lang w:eastAsia="id-ID"/>
        </w:rPr>
        <w:t> through validated survey instruments that measured their engagement with digital media, digital self-efficacy, and online learning motivation. The study implemented </w:t>
      </w:r>
      <w:hyperlink r:id="rId9" w:history="1">
        <w:r w:rsidRPr="000330E2">
          <w:rPr>
            <w:rFonts w:asciiTheme="majorBidi" w:eastAsia="Times New Roman" w:hAnsiTheme="majorBidi" w:cstheme="majorBidi"/>
            <w:color w:val="1F1F1F"/>
            <w:sz w:val="24"/>
            <w:szCs w:val="24"/>
            <w:u w:val="single"/>
            <w:lang w:eastAsia="id-ID"/>
          </w:rPr>
          <w:t>Structural Equation Modeling</w:t>
        </w:r>
      </w:hyperlink>
      <w:r w:rsidRPr="000330E2">
        <w:rPr>
          <w:rFonts w:asciiTheme="majorBidi" w:eastAsia="Times New Roman" w:hAnsiTheme="majorBidi" w:cstheme="majorBidi"/>
          <w:color w:val="1F1F1F"/>
          <w:sz w:val="24"/>
          <w:szCs w:val="24"/>
          <w:lang w:eastAsia="id-ID"/>
        </w:rPr>
        <w:t> (SEM) to analyze the interrelations among these constructs. Results indicated a strong positive relationship between digital media engagement and motivation for online learning, suggesting that the students who actively utilize digital tools tend to demonstrate greater motivation in the ELAs. Additionally, a significant association exists between digital media engagement and digital self-efficacy, indicating that regular interaction with digital platforms enhances learners’ self-confidence regarding their ability to navigate these environments efficiently. Crucially, digital self-efficacy acts as a mediator between digital media engagement and motivation, underscoring the critical role of </w:t>
      </w:r>
      <w:hyperlink r:id="rId10" w:history="1">
        <w:r w:rsidRPr="000330E2">
          <w:rPr>
            <w:rFonts w:asciiTheme="majorBidi" w:eastAsia="Times New Roman" w:hAnsiTheme="majorBidi" w:cstheme="majorBidi"/>
            <w:color w:val="1F1F1F"/>
            <w:sz w:val="24"/>
            <w:szCs w:val="24"/>
            <w:u w:val="single"/>
            <w:lang w:eastAsia="id-ID"/>
          </w:rPr>
          <w:t>perceived competence</w:t>
        </w:r>
      </w:hyperlink>
      <w:r w:rsidRPr="000330E2">
        <w:rPr>
          <w:rFonts w:asciiTheme="majorBidi" w:eastAsia="Times New Roman" w:hAnsiTheme="majorBidi" w:cstheme="majorBidi"/>
          <w:color w:val="1F1F1F"/>
          <w:sz w:val="24"/>
          <w:szCs w:val="24"/>
          <w:lang w:eastAsia="id-ID"/>
        </w:rPr>
        <w:t> in maintaining student motivation in technology-enhanced learning settings. These results carry practical implications for educators, policymakers, and curriculum developers. Specifically, they stress the importance of creating interventions that enhance digital self-efficacy, such as targeted training programs and supportive </w:t>
      </w:r>
      <w:hyperlink r:id="rId11" w:history="1">
        <w:r w:rsidRPr="000330E2">
          <w:rPr>
            <w:rFonts w:asciiTheme="majorBidi" w:eastAsia="Times New Roman" w:hAnsiTheme="majorBidi" w:cstheme="majorBidi"/>
            <w:color w:val="1F1F1F"/>
            <w:sz w:val="24"/>
            <w:szCs w:val="24"/>
            <w:u w:val="single"/>
            <w:lang w:eastAsia="id-ID"/>
          </w:rPr>
          <w:t>digital learning</w:t>
        </w:r>
      </w:hyperlink>
      <w:r w:rsidRPr="000330E2">
        <w:rPr>
          <w:rFonts w:asciiTheme="majorBidi" w:eastAsia="Times New Roman" w:hAnsiTheme="majorBidi" w:cstheme="majorBidi"/>
          <w:color w:val="1F1F1F"/>
          <w:sz w:val="24"/>
          <w:szCs w:val="24"/>
          <w:lang w:eastAsia="id-ID"/>
        </w:rPr>
        <w:t> environments, ultimately amplifying learners’ engagement and their motivation in their </w:t>
      </w:r>
      <w:hyperlink r:id="rId12" w:history="1">
        <w:r w:rsidRPr="000330E2">
          <w:rPr>
            <w:rFonts w:asciiTheme="majorBidi" w:eastAsia="Times New Roman" w:hAnsiTheme="majorBidi" w:cstheme="majorBidi"/>
            <w:color w:val="1F1F1F"/>
            <w:sz w:val="24"/>
            <w:szCs w:val="24"/>
            <w:u w:val="single"/>
            <w:lang w:eastAsia="id-ID"/>
          </w:rPr>
          <w:t>learning experiences</w:t>
        </w:r>
      </w:hyperlink>
      <w:r w:rsidRPr="000330E2">
        <w:rPr>
          <w:rFonts w:asciiTheme="majorBidi" w:eastAsia="Times New Roman" w:hAnsiTheme="majorBidi" w:cstheme="majorBidi"/>
          <w:color w:val="1F1F1F"/>
          <w:sz w:val="24"/>
          <w:szCs w:val="24"/>
          <w:lang w:eastAsia="id-ID"/>
        </w:rPr>
        <w:t>.</w:t>
      </w:r>
    </w:p>
    <w:p w:rsidR="000330E2" w:rsidRDefault="000330E2" w:rsidP="000330E2">
      <w:pPr>
        <w:spacing w:after="100" w:afterAutospacing="1" w:line="390" w:lineRule="atLeast"/>
        <w:jc w:val="both"/>
        <w:outlineLvl w:val="1"/>
        <w:rPr>
          <w:rFonts w:asciiTheme="majorBidi" w:eastAsia="Times New Roman" w:hAnsiTheme="majorBidi" w:cstheme="majorBidi"/>
          <w:color w:val="1F1F1F"/>
          <w:sz w:val="24"/>
          <w:szCs w:val="24"/>
          <w:lang w:eastAsia="id-ID"/>
        </w:rPr>
      </w:pPr>
    </w:p>
    <w:p w:rsidR="000330E2" w:rsidRPr="000330E2" w:rsidRDefault="000330E2" w:rsidP="000330E2">
      <w:pPr>
        <w:spacing w:after="100" w:afterAutospacing="1" w:line="390" w:lineRule="atLeast"/>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Introduction</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 xml:space="preserve">Understanding the factors that drive student engagement and persistence within the technologically mediated learning environments necessitates examining established </w:t>
      </w:r>
      <w:r w:rsidRPr="000330E2">
        <w:rPr>
          <w:rFonts w:asciiTheme="majorBidi" w:eastAsia="Times New Roman" w:hAnsiTheme="majorBidi" w:cstheme="majorBidi"/>
          <w:color w:val="1F1F1F"/>
          <w:sz w:val="24"/>
          <w:szCs w:val="24"/>
          <w:lang w:eastAsia="id-ID"/>
        </w:rPr>
        <w:lastRenderedPageBreak/>
        <w:t>motivational frameworks; prominent among these is Self-Determination Theory (SDT). Developed principally by Deci and Ryan (e.g., Ryan and Deci, 2000, Ryan and Deci, 2017), SDT is grounded in the fundamental assumption that humans are inherently proactive organisms with natural inclinations toward growth, psychological integration, and well-being, rather than being passively shaped by external forces. Crucially, as noted by Ryan and Deci (2020), SDT proposes that the realization of this potential is heavily dependent on the extent to which the social environment supports or thwarts basic psychological needs. Central to the theory are three innate and universal psychological needs considered essential for optimal functioning and motivation: autonomy, competence, and relatedness. Autonomy involves the need to experience oneself as the origin of one's behavior, feeling a sense of choice, volition, and psychological freedom (Deci &amp; Ryan, 2000). Competence relates to the need to feel effective in one's ongoing interactions with the social environment and to experience opportunities to express and extend one's capabilities (Ryan &amp; Deci, 2017). Finally, relatedness encompasses the need to feel connected to others, to care for and be cared for by those significant in one's life, and to feel a sense of belonging within a community (Ryan &amp; Deci, 2020). According to SDT, the satisfaction of these three needs is paramount, fostering more autonomous forms of motivation (including intrinsic motivation), enhancing performance, promoting persistence, and supporting overall psychological health (Ryan &amp; Deci, 2017). Applying this SDT framework is therefore crucial when considering how the features of modern digital learning environments, as discussed subsequently, potentially influence key student outcomes such as digital learning engagement, digital self-efficacy, and motivation, factors intrinsically linked to the satisfaction of these basic psychological needs.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 xml:space="preserve">The fast-paced development of technology has profoundly reshaped the realm of education, impacting diverse aspects of teaching and learning. The integration of digital tools, including artificial intelligence, virtual reality, and online educational platforms, has significantly improved accessibility, student engagement, and customized learning experiences (Rezai et al., 2024a). According to Radianti et al. (2020), these technologies have facilitated interactive and immersive learning environments, enabling learners to master complex concepts more efficiently. For example, as observed by Azizi et al. (2022) and Rezai et al. (2024b), virtual learning settings have allowed students to visit historical landmarks or conduct simulated science experiments, thereby enriching their understanding through experiential learning. The global adoption of these technologies underscores their ability to revolutionize education by providing more adaptable and tailored learning options to individual learners as discussed by Rahimi et al. (2021) and Zawacki-Richter et al. (2019). However, addressing challenges, including disparities in digital access and the necessity for comprehensive teacher training, is </w:t>
      </w:r>
      <w:r w:rsidRPr="000330E2">
        <w:rPr>
          <w:rFonts w:asciiTheme="majorBidi" w:eastAsia="Times New Roman" w:hAnsiTheme="majorBidi" w:cstheme="majorBidi"/>
          <w:color w:val="1F1F1F"/>
          <w:sz w:val="24"/>
          <w:szCs w:val="24"/>
          <w:lang w:eastAsia="id-ID"/>
        </w:rPr>
        <w:lastRenderedPageBreak/>
        <w:t>essential to fully leverage the advantages of these technological advancements (Alenezi et al., 2023, Haleem et al., 2022). In this distinctive learning environment, student-related constructs, such as digital learning engagement, digital self-efficacy, and motivation can be affected.</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Digital learning engagement is characterized by students’ proactive involvement with digital tools and resources to optimize their educational performance (Bergdahl et al., 2020, Tai et al., 2019). Kim and Frick (2011) highlighted a strong connection among motivation, engagement, and educational achievement in online environments, demonstrating that higher motivation levels can result in increased engagement and improved outcomes. Martin and Bolliger (2018) define this engagement as essential for secondary high school learners, who utilize technology for academic tasks, collaborative projects, and accessing online materials (Martin &amp; Bolliger, 2018). Dabbagh and Acri (2016) touched on the necessity of adapting online learning strategies to suit high school students, emphasizing that these settings require engaging and interactive approaches to maintain motivation and enhance the educational experience. Active digital engagement fosters important capabilities including self-regulation, problem-solving, and adaptability, which are essential in the modern world (Bertheussen and Myrland, 2016, Hietajärvi et al., 2020). Research has demonstrated that effective digital engagement correlates with improved academic performance and motivation in secondary school students (Bernacki et al., 2020, Nkomo et al., 2021). Furthermore, it cultivates digital literacy and competence, preparing students for future challenges, as demonstrated by Hutain and Michinov (2022) and Spante et al. (2018).</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To better understand digital engagement, Hietajärvi et al. (2020) introduced a model with two dimensions: Wish for Digital Schoolwork (WDS) and Digital Learning Preference (DLP). DLP illustrated a student’s preference for using digital tools in their learning process, reflecting their comfort and satisfaction with technology-mediated education. Students exhibiting high DLP typically favored multimedia content and interactive platforms that resonated with their learning styles (Hietajärvi et al., 2020). Conversely, WDS captures students’ aspirations for greater integration of digital tools into schoolwork, reflecting their recognition of the advantages of digital engagement in educational contexts. This model is a framework for exploring students’ interaction with digital media and highlights the motivational dimensions of engagement in digital learning environments (Hietajärvi et al., 2020). By adopting this model, the current study seeks to clarify how digital learning engagement influences digital self-efficacy and motivation in extracurricular learning activities (ELAs)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 xml:space="preserve">A critical construct addressed in this study is online learning motivation, encompassing both internal and external incentives that motivate students to participate actively in and persist with digital learning experiences (Chiu et al., 2021, Zhou and Zhang, 2024). This motivation is </w:t>
      </w:r>
      <w:r w:rsidRPr="000330E2">
        <w:rPr>
          <w:rFonts w:asciiTheme="majorBidi" w:eastAsia="Times New Roman" w:hAnsiTheme="majorBidi" w:cstheme="majorBidi"/>
          <w:color w:val="1F1F1F"/>
          <w:sz w:val="24"/>
          <w:szCs w:val="24"/>
          <w:lang w:eastAsia="id-ID"/>
        </w:rPr>
        <w:lastRenderedPageBreak/>
        <w:t>pivotal for secondary school learners as it profoundly impacts their academic performance, levels of engagement, and overall educational success, a point emphasized by Broadbent and Poon (2015). For secondary school students, fostering online learning motivation is paramount as it promotes self-directed learning cultivates adaptability to a variety of educational technologies and enhances critical thinking skills (Bulut and Delialioğlu, 2024, Meşe and Sevilen, 2021). Motivated students tend to establish meaningful goals, maintain commitment to course requirements, and explore novel knowledge areas in online settings (Dong et al., 2022, Maclellan, 2008, Ryan and Deci, 2020). Thus, fostering online learning motivation not only amplifies academic achievements but also equips learners with the essential skills to facilitate lifelong learning in an increasingly technological world (Chen and Jang, 2010, Meşe and Sevilen, 2021).</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A valuable theoretical framework that provides an in-depth analysis of online learning motivation is the model proposed by Fowler (2018). This framework outlines seven critical dimensions of digital learning engagement. Intrinsic goal orientation reflects the internal satisfaction derived from the learning process, while extrinsic goal orientation relates to the pursuit of external rewards such as grades or recognition (Fowler, 2018). Bandura (1997) also documented that control of learning beliefs underscores students’ perceptions of their ability to affect learning outcomes, whereas self-efficacy signifies their confidence in completing academic tasks successfully. Task value highlights the perceived significance and usefulness of learning activities, and social engagement accentuates the significance of peer interactions in fostering motivation (Kahu, 2013). Finally, as emphasized by Martin and Bolliger (2018), instructor support is critical for guiding, mentoring, and motivating learners in online environments. By synthesizing these dimensions, Fowler’s model offers a solid framework for analyzing the intricate nature of online learning motivation, making it particularly relevant to this study’s focus on secondary school students’ digital learning engagement and digital self-efficacy.</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 xml:space="preserve">The dynamic connection between digital learning engagement and online learning environments stands out as an important area for investigation. A high-quality online learning environment significantly influences the effectiveness of digital engagement practices. A well-structured online learning space encourages active participation, collaborative learning, and a feeling of belonging, which collectively enhance motivation among secondary high school students (Garrison et al., 2010, Hutain and Michinov, 2022). As verified by Fredricks et al. (2016) digital learning engagement significantly impacts students’ openness to engaging with online materials, fulfilling assignments, and participating in discussions. Wang et al. (2019) documented those students who are deeply invested in a task that they find valuable and </w:t>
      </w:r>
      <w:r w:rsidRPr="000330E2">
        <w:rPr>
          <w:rFonts w:asciiTheme="majorBidi" w:eastAsia="Times New Roman" w:hAnsiTheme="majorBidi" w:cstheme="majorBidi"/>
          <w:color w:val="1F1F1F"/>
          <w:sz w:val="24"/>
          <w:szCs w:val="24"/>
          <w:lang w:eastAsia="id-ID"/>
        </w:rPr>
        <w:lastRenderedPageBreak/>
        <w:t>manageable, exhibit increased motivation to continue their learning endeavors. Furthermore, active engagement nurtures digital self-efficacy, empowering learners to proficiently navigate online platforms and instilling confidence in their abilities (Nkomo et al., 2021, Sun and Rueda, 2012, Zimmerman, 2000). Therefore, grasping the interplay between digital engagement and online motivation is essential for developing educational strategies.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Digital self-efficacy, the third construct examined in this research, represents an individual’s confidence in their capability to utilize digital tools and technologies effectively to accomplish academic tasks (Ulfert-Blank &amp; Schmidt, 2022). For secondary school students, digital self-efficacy can directly affect their ability to navigate digital platforms, utilizing educational software, and engaging with online learning resources (Bandura, 1997, Panadero, 2017, Pumptow and Brahm, 2021). Coupled with this, online learning motivation is vital for determining the learner’s success in online learning settings. As Ryan and Deci (2020) stated, motivation enables learners to take control of their learning experiences, nurturing resilience, goal-setting, and academic accomplishment. Digital self-efficacy combined with online learning motivation is indispensable for preparing secondary students to flourish in a rapidly digitizing educational system (Zhao et al., 2021).</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The intricate concept of digital self-efficacy was addressed through a significant model proposed by Ulfert-Blank and Schmidt (2022). This framework identifies five key components of digital self-efficacy. First, information and data literacy encompass skills necessary to locate, assess, and utilize information effectively (Carretero et al., 2017). Second, communication and collaboration focus on the capability of engaging with peers and collaborating through digital platforms. Third, digital content creation emphasizes the competencies required to generate and manage online materials. Fourth, safety pertains to the responsible and secure use of technology. Lastly, problem-solving refers to the capacity to tackle and overcome challenges in digital contexts. These dimensions provide a comprehensive framework for evaluating and nurturing digital self-efficacy, aligning closely with the aims of this research.</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 xml:space="preserve">The interconnection between digital self-efficacy and digital learning engagement is vital for evaluating student’ performance in online environments. As Henrie et al. (2015) described, digital learning engagement significantly influences students’ active involvement in digital learning. High levels of online participation often enhance students’ motivation by fostering a feeling of competence and autonomy over their learning processes (Arbulú Pérez Vargas et al., 2024). Similarly, digital self-efficacy directly affects students’ ability to persist in online learning, bolstering their confidence in managing digital tools and navigating virtual platforms (Spante et al., 2018). As Sun and Rueda (2012) verified, the interaction between these constructs improves learners’ digital literacy and boosts their intrinsic motivation to engage </w:t>
      </w:r>
      <w:r w:rsidRPr="000330E2">
        <w:rPr>
          <w:rFonts w:asciiTheme="majorBidi" w:eastAsia="Times New Roman" w:hAnsiTheme="majorBidi" w:cstheme="majorBidi"/>
          <w:color w:val="1F1F1F"/>
          <w:sz w:val="24"/>
          <w:szCs w:val="24"/>
          <w:lang w:eastAsia="id-ID"/>
        </w:rPr>
        <w:lastRenderedPageBreak/>
        <w:t>with online activities. Moreover, digital self-efficacy serves as a mediator between digital learning engagement and online learning motivation. By boosting students’ confidence in their capability of succeeding in online contexts, digital self-efficacy acts as a bridge that reinforces the connection between active engagement in digital learning and intrinsic motivation (Cho and Kim, 2013, Rohde et al., 2024). Students who possess higher digital self-efficacy are more prepared to navigate challenges, sustain motivation, and achieve their academic objectives in online environments. This mediation highlights the significance of cultivating digital self-efficacy to optimize learners’ experiences and their learning outcomes in technology-enhanced contexts (Getenet et al., 2024; Zhao et al., 2021).</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This research is anchored in SDT, a prominent framework established by Deci and Ryan (1985) to elucidate human motivation. As Deci and Ryan (2000) pointed out, the SDT suggests that individuals are motivated by three innate psychological needs including autonomy, competence, and relatedness, that promote internal motivation, well-being, and personal growth when fulfilled Autonomy is characterized by the necessity to experience a sense of command and control over one’s actions and decisions, competence involves a feeling of efficacy in achieving desired outcomes, and relatedness is characterized by the aspiration to establish significant and meaningful connections with others (Ryan &amp; Deci, 2017). These principles emphasize the necessity of fostering environments that nurture intrinsic motivation, particularly within educational settings. In digital learning scenarios, SDT provides valuable insights into how technological tools and self-efficacy interact to influence motivation and engagement (Ryan &amp; Deci, 2020).</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From the SDT perspectives, the intersections between digital media engagement, digital self-efficacy, and motivation for online learning constitutes a dynamic process. Digital media engagement provides students with opportunities to experience autonomy, tackle challenging tasks, and connect with peers or mentors, all of which contribute to their motivation (Bond et al., 2020, Reeve, 2012). As Schunk and DiBenedetto (2020) described it, digital self-efficacy, understood as the confidence in one’s capability of effectively navigating and succeeding in digital learning environments, enhances students’ perceptions of competence. When learners feel competent in their digital abilities, they are more apt to join the ELAs and sustain their motivation (Bandura, 1997). As Deci and Ryan (2000) asserted, the mediating influence of digital self-efficacy aligns with the SDT’s assertion that competence is critical to maintaining intrinsic motivation, particularly in self-directed online learning environments. This research builds upon these principles through examining how digital self-efficacy influences the connection between digital learning engagement and motivation in the ELAs.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lastRenderedPageBreak/>
        <w:t>A substantial body of research has delved into the intricate relationships among student-related constructs in online learning settings. For instance, Getenet et al. (2024) explored how students’ perceptions of digital technology, their digital literacy levels, and their self-efficacy influence engagement in online learning engagement. Their research indicated that favorable attitudes toward technology, higher digital literacy, and greater self-efficacy significantly lead to greater students’ engagement in virtual learning contexts. In a similar vein, Kuo et al. (2021) examined the role of web-based learning self-efficacy in Massive Open Online Courses (MOOCs), and its effect on learning engagement, underscoring the moderating influence of online academic resilience. Their study highlighted the necessity of cultivating self-efficacy to deepen student’ involvement in web-based educational settings. Moreover, during the coronavirus outbreak, researchers like Heo et al. (2021) emphasized the importance of self-efficacy in managing time, utilizing technology, and navigating online educational settings.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Their findings evidenced that these aspects of self-efficacy were essential for maintaining engagement in remote learning scenarios. Similarly, Han et al. (2021) explored the interaction between self-efficacy, learner satisfaction, and participation in digital learning environments, mostly among EFL learners in China. Furthermore, Arbulú Pérez Vargas et al. (2024) investigated how digital competencies and mobile self-efficacy mediate stress management and student engagement, demonstrating that greater digital skills and self-efficacy empower students to navigate virtual environments more effectively in the aftermath of the pandemic. Additionally, Alemayehu and Chen (2023) analyzed the impact that motivation has on learning engagement revealing that learning self-efficacy and self-monitoring partially mediate this relationship. Huang and Wang (2023) also contributed to this discourse by exploring strategies to sustain student engagement during emergency online learning, pinpointing instructor support, interactive activities, and clear objectives as key motivators.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 xml:space="preserve">Despite these valuable insights, a lacuna remains in understanding the way digital self-efficacy mediates the connection between engagement in online learning and motivation., particularly within the ELAs. Most existing research has predominantly centered on formal educational settings or emergency online learning scenarios, leaving extracurricular environments relatively unexamined. To address this gap, this research investigates the effect of digital learning engagement on online learning motivation in the ELAs, specifically centered on the means by which digital self-efficacy mediates this relationship. The outcomes of this research provide theoretical insights as well as practical applications. Theoretically, it extends the application of the SDT by integrating digital self-efficacy as a factor that mediates in the ELAs, which enhances our comprehension of motivation in digital learning environments. Practically, the findings provide actionable insights for educators and policymakers aiming to utilize and </w:t>
      </w:r>
      <w:r w:rsidRPr="000330E2">
        <w:rPr>
          <w:rFonts w:asciiTheme="majorBidi" w:eastAsia="Times New Roman" w:hAnsiTheme="majorBidi" w:cstheme="majorBidi"/>
          <w:color w:val="1F1F1F"/>
          <w:sz w:val="24"/>
          <w:szCs w:val="24"/>
          <w:lang w:eastAsia="id-ID"/>
        </w:rPr>
        <w:lastRenderedPageBreak/>
        <w:t>harness digital technologies to boost students’ motivation and engagement beyond traditional classroom settings. By emphasizing the ELAs, this study elucidates how online tools can be employed in creating meaningful learning experiences that resonate with students’ intrinsic interests and aspirations. We have formulated the following research questions (RQs) to meet these objectives: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RQ1. Is there a significant correlation between digital learning engagement and online learning motivation among secondary school students?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RQ2: Is there a significant correlation between digital learning engagement and digital self-efficacy among high school students?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RQ3: Is there a significant correlation between digital learning engagement and digital self-efficacy among high school students?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RQ4: Does digital self-efficacy mediate the correlation between digital learning engagement and online learning motivation among high school students?</w:t>
      </w:r>
    </w:p>
    <w:p w:rsidR="000330E2" w:rsidRPr="000330E2" w:rsidRDefault="000330E2" w:rsidP="000330E2">
      <w:pPr>
        <w:spacing w:after="0" w:line="240" w:lineRule="auto"/>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Access through your organization</w:t>
      </w:r>
    </w:p>
    <w:p w:rsidR="000330E2" w:rsidRPr="000330E2" w:rsidRDefault="000330E2" w:rsidP="000330E2">
      <w:pPr>
        <w:spacing w:after="100" w:afterAutospacing="1" w:line="240" w:lineRule="auto"/>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Check access to the full text by signing in through your organization.</w:t>
      </w:r>
    </w:p>
    <w:p w:rsidR="000330E2" w:rsidRPr="000330E2" w:rsidRDefault="000330E2" w:rsidP="000330E2">
      <w:pPr>
        <w:spacing w:before="100" w:beforeAutospacing="1" w:after="100" w:afterAutospacing="1" w:line="390" w:lineRule="atLeast"/>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Section snippets</w:t>
      </w:r>
    </w:p>
    <w:p w:rsidR="000330E2" w:rsidRPr="000330E2" w:rsidRDefault="000330E2" w:rsidP="000330E2">
      <w:pPr>
        <w:spacing w:before="100" w:beforeAutospacing="1" w:after="100" w:afterAutospacing="1" w:line="390" w:lineRule="atLeast"/>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Study design</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A quantitative methodology, specifically implementing a correlational research framework was adopted to explore the connections among the constructs under investigation in this study. This design was chosen to explore the interconnections among these constructs without the need for manipulation, thereby aligning with the study’s aims. Data collection involved a structured survey instrument administered to participants actively participating in digital learning environments. The analytical</w:t>
      </w:r>
    </w:p>
    <w:p w:rsidR="000330E2" w:rsidRPr="000330E2" w:rsidRDefault="000330E2" w:rsidP="000330E2">
      <w:pPr>
        <w:spacing w:before="100" w:beforeAutospacing="1" w:after="100" w:afterAutospacing="1" w:line="390" w:lineRule="atLeast"/>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Results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To begin with, the researcher employed Cronbach Alpha to evaluate the reliability of the scales utilized in collecting the data. The findings indicated a commendable level of internal consistency, with reliability coefficients in the range of 0.806–0.939, all greater than the benchmark of 0.70. Following this, measures of kurtosis and critical ratio were utilized to assess multivariable normality. Mair et al. (2012) articulated that data exhibit multivariable normality if the critical ratio is</w:t>
      </w:r>
    </w:p>
    <w:p w:rsidR="000330E2" w:rsidRPr="000330E2" w:rsidRDefault="000330E2" w:rsidP="000330E2">
      <w:pPr>
        <w:spacing w:before="100" w:beforeAutospacing="1" w:after="100" w:afterAutospacing="1" w:line="390" w:lineRule="atLeast"/>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Discussion</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lastRenderedPageBreak/>
        <w:t>The first research question investigated whether there is a strong correlation between digital learning engagement and online learning motivation among secondary school students. The findings ascertained that a meaningful statistical correlation exists between the two constructs, indicating that heightened digital learning engagement aligns with increased online learning motivation. This relationship emphasizes the need to create engaging digital environments to enhance the students’ motivation </w:t>
      </w:r>
    </w:p>
    <w:p w:rsidR="000330E2" w:rsidRPr="000330E2" w:rsidRDefault="000330E2" w:rsidP="000330E2">
      <w:pPr>
        <w:spacing w:before="100" w:beforeAutospacing="1" w:after="100" w:afterAutospacing="1" w:line="390" w:lineRule="atLeast"/>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Conclusions and pedagogical implications</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This study aimed to explore the impact of digital media engagement on motivation within the ELAs using the framework of the SDT, specifically focusing on the significance of digital self-efficacy as a mediator. The results revealed a significant association between digital learning engagement and online learning motivation among the secondary school students in China. Furthermore, a strong association was identified between digital learning engagement and digital self-efficacy, highlighting the </w:t>
      </w:r>
    </w:p>
    <w:p w:rsidR="000330E2" w:rsidRPr="000330E2" w:rsidRDefault="000330E2" w:rsidP="000330E2">
      <w:pPr>
        <w:spacing w:before="100" w:beforeAutospacing="1" w:after="100" w:afterAutospacing="1" w:line="390" w:lineRule="atLeast"/>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Limitations of the study and suggestions for further research</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Despite offering significant insights into the relationship between online learning engagement, digital self-efficacy, and online learning motivation, this research was subject to several limitations. First, the study was carried out exclusively with secondary school students, which may constrain the applicability of the results to different educational settings, such as higher education or adult learning settings. To address this limitation, future research could expand the scope of the</w:t>
      </w:r>
    </w:p>
    <w:p w:rsidR="000330E2" w:rsidRPr="000330E2" w:rsidRDefault="000330E2" w:rsidP="000330E2">
      <w:pPr>
        <w:spacing w:before="100" w:beforeAutospacing="1" w:after="100" w:afterAutospacing="1" w:line="390" w:lineRule="atLeast"/>
        <w:jc w:val="both"/>
        <w:outlineLvl w:val="1"/>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Funding</w:t>
      </w:r>
    </w:p>
    <w:p w:rsidR="000330E2" w:rsidRPr="000330E2" w:rsidRDefault="000330E2" w:rsidP="000330E2">
      <w:pPr>
        <w:spacing w:after="0" w:line="390" w:lineRule="atLeast"/>
        <w:jc w:val="both"/>
        <w:rPr>
          <w:rFonts w:asciiTheme="majorBidi" w:eastAsia="Times New Roman" w:hAnsiTheme="majorBidi" w:cstheme="majorBidi"/>
          <w:color w:val="1F1F1F"/>
          <w:sz w:val="24"/>
          <w:szCs w:val="24"/>
          <w:lang w:eastAsia="id-ID"/>
        </w:rPr>
      </w:pPr>
      <w:r w:rsidRPr="000330E2">
        <w:rPr>
          <w:rFonts w:asciiTheme="majorBidi" w:eastAsia="Times New Roman" w:hAnsiTheme="majorBidi" w:cstheme="majorBidi"/>
          <w:color w:val="1F1F1F"/>
          <w:sz w:val="24"/>
          <w:szCs w:val="24"/>
          <w:lang w:eastAsia="id-ID"/>
        </w:rPr>
        <w:t>Public Basic Course Department, Hunan University of Environment and Biology, Hengyang, Hunan, P. R. China. Supported by Hunan Province Vocational Education Teaching Reform Research Project (Grant No.ZJGB2023613).</w:t>
      </w:r>
    </w:p>
    <w:p w:rsidR="0001448B" w:rsidRPr="000330E2" w:rsidRDefault="000330E2" w:rsidP="000330E2">
      <w:pPr>
        <w:jc w:val="both"/>
        <w:rPr>
          <w:rFonts w:asciiTheme="majorBidi" w:hAnsiTheme="majorBidi" w:cstheme="majorBidi"/>
          <w:sz w:val="24"/>
          <w:szCs w:val="24"/>
        </w:rPr>
      </w:pPr>
    </w:p>
    <w:sectPr w:rsidR="0001448B" w:rsidRPr="000330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0E2"/>
    <w:rsid w:val="000330E2"/>
    <w:rsid w:val="002B3F6A"/>
    <w:rsid w:val="00632148"/>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E75439-4A4D-4FD2-8ED1-6EC98F9F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330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d-ID"/>
    </w:rPr>
  </w:style>
  <w:style w:type="paragraph" w:styleId="Heading2">
    <w:name w:val="heading 2"/>
    <w:basedOn w:val="Normal"/>
    <w:link w:val="Heading2Char"/>
    <w:uiPriority w:val="9"/>
    <w:qFormat/>
    <w:rsid w:val="000330E2"/>
    <w:pPr>
      <w:spacing w:before="100" w:beforeAutospacing="1" w:after="100" w:afterAutospacing="1" w:line="240" w:lineRule="auto"/>
      <w:outlineLvl w:val="1"/>
    </w:pPr>
    <w:rPr>
      <w:rFonts w:ascii="Times New Roman" w:eastAsia="Times New Roman" w:hAnsi="Times New Roman" w:cs="Times New Roman"/>
      <w:b/>
      <w:bCs/>
      <w:sz w:val="36"/>
      <w:szCs w:val="36"/>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0E2"/>
    <w:rPr>
      <w:rFonts w:ascii="Times New Roman" w:eastAsia="Times New Roman" w:hAnsi="Times New Roman" w:cs="Times New Roman"/>
      <w:b/>
      <w:bCs/>
      <w:kern w:val="36"/>
      <w:sz w:val="48"/>
      <w:szCs w:val="48"/>
      <w:lang w:eastAsia="id-ID"/>
    </w:rPr>
  </w:style>
  <w:style w:type="character" w:customStyle="1" w:styleId="Heading2Char">
    <w:name w:val="Heading 2 Char"/>
    <w:basedOn w:val="DefaultParagraphFont"/>
    <w:link w:val="Heading2"/>
    <w:uiPriority w:val="9"/>
    <w:rsid w:val="000330E2"/>
    <w:rPr>
      <w:rFonts w:ascii="Times New Roman" w:eastAsia="Times New Roman" w:hAnsi="Times New Roman" w:cs="Times New Roman"/>
      <w:b/>
      <w:bCs/>
      <w:sz w:val="36"/>
      <w:szCs w:val="36"/>
      <w:lang w:eastAsia="id-ID"/>
    </w:rPr>
  </w:style>
  <w:style w:type="character" w:customStyle="1" w:styleId="title-text">
    <w:name w:val="title-text"/>
    <w:basedOn w:val="DefaultParagraphFont"/>
    <w:rsid w:val="000330E2"/>
  </w:style>
  <w:style w:type="character" w:customStyle="1" w:styleId="sr-only">
    <w:name w:val="sr-only"/>
    <w:basedOn w:val="DefaultParagraphFont"/>
    <w:rsid w:val="000330E2"/>
  </w:style>
  <w:style w:type="character" w:customStyle="1" w:styleId="button-link-text">
    <w:name w:val="button-link-text"/>
    <w:basedOn w:val="DefaultParagraphFont"/>
    <w:rsid w:val="000330E2"/>
  </w:style>
  <w:style w:type="character" w:customStyle="1" w:styleId="react-xocs-alternative-link">
    <w:name w:val="react-xocs-alternative-link"/>
    <w:basedOn w:val="DefaultParagraphFont"/>
    <w:rsid w:val="000330E2"/>
  </w:style>
  <w:style w:type="character" w:customStyle="1" w:styleId="given-name">
    <w:name w:val="given-name"/>
    <w:basedOn w:val="DefaultParagraphFont"/>
    <w:rsid w:val="000330E2"/>
  </w:style>
  <w:style w:type="character" w:customStyle="1" w:styleId="text">
    <w:name w:val="text"/>
    <w:basedOn w:val="DefaultParagraphFont"/>
    <w:rsid w:val="000330E2"/>
  </w:style>
  <w:style w:type="character" w:styleId="Hyperlink">
    <w:name w:val="Hyperlink"/>
    <w:basedOn w:val="DefaultParagraphFont"/>
    <w:uiPriority w:val="99"/>
    <w:semiHidden/>
    <w:unhideWhenUsed/>
    <w:rsid w:val="000330E2"/>
    <w:rPr>
      <w:color w:val="0000FF"/>
      <w:u w:val="single"/>
    </w:rPr>
  </w:style>
  <w:style w:type="character" w:customStyle="1" w:styleId="anchor-text">
    <w:name w:val="anchor-text"/>
    <w:basedOn w:val="DefaultParagraphFont"/>
    <w:rsid w:val="000330E2"/>
  </w:style>
  <w:style w:type="paragraph" w:customStyle="1" w:styleId="u-margin-s-bottom">
    <w:name w:val="u-margin-s-bottom"/>
    <w:basedOn w:val="Normal"/>
    <w:rsid w:val="000330E2"/>
    <w:pPr>
      <w:spacing w:before="100" w:beforeAutospacing="1" w:after="100" w:afterAutospacing="1" w:line="240" w:lineRule="auto"/>
    </w:pPr>
    <w:rPr>
      <w:rFonts w:ascii="Times New Roman" w:eastAsia="Times New Roman" w:hAnsi="Times New Roman" w:cs="Times New Roman"/>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6869">
      <w:bodyDiv w:val="1"/>
      <w:marLeft w:val="0"/>
      <w:marRight w:val="0"/>
      <w:marTop w:val="0"/>
      <w:marBottom w:val="0"/>
      <w:divBdr>
        <w:top w:val="none" w:sz="0" w:space="0" w:color="auto"/>
        <w:left w:val="none" w:sz="0" w:space="0" w:color="auto"/>
        <w:bottom w:val="none" w:sz="0" w:space="0" w:color="auto"/>
        <w:right w:val="none" w:sz="0" w:space="0" w:color="auto"/>
      </w:divBdr>
      <w:divsChild>
        <w:div w:id="1728143557">
          <w:marLeft w:val="0"/>
          <w:marRight w:val="0"/>
          <w:marTop w:val="0"/>
          <w:marBottom w:val="120"/>
          <w:divBdr>
            <w:top w:val="none" w:sz="0" w:space="0" w:color="auto"/>
            <w:left w:val="none" w:sz="0" w:space="0" w:color="auto"/>
            <w:bottom w:val="none" w:sz="0" w:space="0" w:color="auto"/>
            <w:right w:val="none" w:sz="0" w:space="0" w:color="auto"/>
          </w:divBdr>
          <w:divsChild>
            <w:div w:id="1884054938">
              <w:marLeft w:val="0"/>
              <w:marRight w:val="0"/>
              <w:marTop w:val="0"/>
              <w:marBottom w:val="0"/>
              <w:divBdr>
                <w:top w:val="none" w:sz="0" w:space="0" w:color="auto"/>
                <w:left w:val="none" w:sz="0" w:space="0" w:color="auto"/>
                <w:bottom w:val="none" w:sz="0" w:space="0" w:color="auto"/>
                <w:right w:val="none" w:sz="0" w:space="0" w:color="auto"/>
              </w:divBdr>
              <w:divsChild>
                <w:div w:id="2072195011">
                  <w:marLeft w:val="0"/>
                  <w:marRight w:val="0"/>
                  <w:marTop w:val="0"/>
                  <w:marBottom w:val="0"/>
                  <w:divBdr>
                    <w:top w:val="none" w:sz="0" w:space="0" w:color="auto"/>
                    <w:left w:val="none" w:sz="0" w:space="0" w:color="auto"/>
                    <w:bottom w:val="none" w:sz="0" w:space="0" w:color="auto"/>
                    <w:right w:val="none" w:sz="0" w:space="0" w:color="auto"/>
                  </w:divBdr>
                  <w:divsChild>
                    <w:div w:id="171084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767876">
              <w:marLeft w:val="0"/>
              <w:marRight w:val="0"/>
              <w:marTop w:val="0"/>
              <w:marBottom w:val="0"/>
              <w:divBdr>
                <w:top w:val="none" w:sz="0" w:space="0" w:color="auto"/>
                <w:left w:val="none" w:sz="0" w:space="0" w:color="auto"/>
                <w:bottom w:val="single" w:sz="6" w:space="0" w:color="000000"/>
                <w:right w:val="none" w:sz="0" w:space="0" w:color="auto"/>
              </w:divBdr>
              <w:divsChild>
                <w:div w:id="323824155">
                  <w:marLeft w:val="0"/>
                  <w:marRight w:val="0"/>
                  <w:marTop w:val="0"/>
                  <w:marBottom w:val="0"/>
                  <w:divBdr>
                    <w:top w:val="none" w:sz="0" w:space="0" w:color="auto"/>
                    <w:left w:val="none" w:sz="0" w:space="0" w:color="auto"/>
                    <w:bottom w:val="none" w:sz="0" w:space="0" w:color="auto"/>
                    <w:right w:val="none" w:sz="0" w:space="0" w:color="auto"/>
                  </w:divBdr>
                  <w:divsChild>
                    <w:div w:id="912399292">
                      <w:marLeft w:val="0"/>
                      <w:marRight w:val="0"/>
                      <w:marTop w:val="0"/>
                      <w:marBottom w:val="0"/>
                      <w:divBdr>
                        <w:top w:val="none" w:sz="0" w:space="0" w:color="auto"/>
                        <w:left w:val="none" w:sz="0" w:space="0" w:color="auto"/>
                        <w:bottom w:val="none" w:sz="0" w:space="0" w:color="auto"/>
                        <w:right w:val="none" w:sz="0" w:space="0" w:color="auto"/>
                      </w:divBdr>
                      <w:divsChild>
                        <w:div w:id="157465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842083">
                  <w:marLeft w:val="0"/>
                  <w:marRight w:val="0"/>
                  <w:marTop w:val="0"/>
                  <w:marBottom w:val="0"/>
                  <w:divBdr>
                    <w:top w:val="none" w:sz="0" w:space="0" w:color="auto"/>
                    <w:left w:val="none" w:sz="0" w:space="0" w:color="auto"/>
                    <w:bottom w:val="none" w:sz="0" w:space="0" w:color="auto"/>
                    <w:right w:val="none" w:sz="0" w:space="0" w:color="auto"/>
                  </w:divBdr>
                  <w:divsChild>
                    <w:div w:id="1369380430">
                      <w:marLeft w:val="0"/>
                      <w:marRight w:val="0"/>
                      <w:marTop w:val="0"/>
                      <w:marBottom w:val="0"/>
                      <w:divBdr>
                        <w:top w:val="none" w:sz="0" w:space="0" w:color="auto"/>
                        <w:left w:val="none" w:sz="0" w:space="0" w:color="auto"/>
                        <w:bottom w:val="none" w:sz="0" w:space="0" w:color="auto"/>
                        <w:right w:val="none" w:sz="0" w:space="0" w:color="auto"/>
                      </w:divBdr>
                      <w:divsChild>
                        <w:div w:id="146049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653606">
          <w:marLeft w:val="0"/>
          <w:marRight w:val="0"/>
          <w:marTop w:val="0"/>
          <w:marBottom w:val="0"/>
          <w:divBdr>
            <w:top w:val="none" w:sz="0" w:space="0" w:color="auto"/>
            <w:left w:val="none" w:sz="0" w:space="0" w:color="auto"/>
            <w:bottom w:val="none" w:sz="0" w:space="0" w:color="auto"/>
            <w:right w:val="none" w:sz="0" w:space="0" w:color="auto"/>
          </w:divBdr>
        </w:div>
        <w:div w:id="1024984501">
          <w:marLeft w:val="0"/>
          <w:marRight w:val="0"/>
          <w:marTop w:val="0"/>
          <w:marBottom w:val="0"/>
          <w:divBdr>
            <w:top w:val="none" w:sz="0" w:space="0" w:color="auto"/>
            <w:left w:val="none" w:sz="0" w:space="0" w:color="auto"/>
            <w:bottom w:val="none" w:sz="0" w:space="0" w:color="auto"/>
            <w:right w:val="none" w:sz="0" w:space="0" w:color="auto"/>
          </w:divBdr>
          <w:divsChild>
            <w:div w:id="245456827">
              <w:marLeft w:val="0"/>
              <w:marRight w:val="0"/>
              <w:marTop w:val="0"/>
              <w:marBottom w:val="0"/>
              <w:divBdr>
                <w:top w:val="none" w:sz="0" w:space="0" w:color="auto"/>
                <w:left w:val="none" w:sz="0" w:space="0" w:color="auto"/>
                <w:bottom w:val="none" w:sz="0" w:space="0" w:color="auto"/>
                <w:right w:val="none" w:sz="0" w:space="0" w:color="auto"/>
              </w:divBdr>
              <w:divsChild>
                <w:div w:id="989289515">
                  <w:marLeft w:val="0"/>
                  <w:marRight w:val="0"/>
                  <w:marTop w:val="0"/>
                  <w:marBottom w:val="120"/>
                  <w:divBdr>
                    <w:top w:val="none" w:sz="0" w:space="0" w:color="auto"/>
                    <w:left w:val="none" w:sz="0" w:space="0" w:color="auto"/>
                    <w:bottom w:val="none" w:sz="0" w:space="0" w:color="auto"/>
                    <w:right w:val="none" w:sz="0" w:space="0" w:color="auto"/>
                  </w:divBdr>
                  <w:divsChild>
                    <w:div w:id="1556745191">
                      <w:marLeft w:val="0"/>
                      <w:marRight w:val="0"/>
                      <w:marTop w:val="0"/>
                      <w:marBottom w:val="0"/>
                      <w:divBdr>
                        <w:top w:val="none" w:sz="0" w:space="0" w:color="auto"/>
                        <w:left w:val="none" w:sz="0" w:space="0" w:color="auto"/>
                        <w:bottom w:val="none" w:sz="0" w:space="0" w:color="auto"/>
                        <w:right w:val="none" w:sz="0" w:space="0" w:color="auto"/>
                      </w:divBdr>
                      <w:divsChild>
                        <w:div w:id="158224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160607">
          <w:marLeft w:val="0"/>
          <w:marRight w:val="0"/>
          <w:marTop w:val="0"/>
          <w:marBottom w:val="0"/>
          <w:divBdr>
            <w:top w:val="none" w:sz="0" w:space="0" w:color="auto"/>
            <w:left w:val="none" w:sz="0" w:space="0" w:color="auto"/>
            <w:bottom w:val="none" w:sz="0" w:space="0" w:color="auto"/>
            <w:right w:val="none" w:sz="0" w:space="0" w:color="auto"/>
          </w:divBdr>
          <w:divsChild>
            <w:div w:id="608270767">
              <w:marLeft w:val="0"/>
              <w:marRight w:val="0"/>
              <w:marTop w:val="0"/>
              <w:marBottom w:val="0"/>
              <w:divBdr>
                <w:top w:val="none" w:sz="0" w:space="0" w:color="auto"/>
                <w:left w:val="none" w:sz="0" w:space="0" w:color="auto"/>
                <w:bottom w:val="none" w:sz="0" w:space="0" w:color="auto"/>
                <w:right w:val="none" w:sz="0" w:space="0" w:color="auto"/>
              </w:divBdr>
              <w:divsChild>
                <w:div w:id="1909919527">
                  <w:marLeft w:val="0"/>
                  <w:marRight w:val="0"/>
                  <w:marTop w:val="0"/>
                  <w:marBottom w:val="0"/>
                  <w:divBdr>
                    <w:top w:val="none" w:sz="0" w:space="0" w:color="auto"/>
                    <w:left w:val="none" w:sz="0" w:space="0" w:color="auto"/>
                    <w:bottom w:val="none" w:sz="0" w:space="0" w:color="auto"/>
                    <w:right w:val="none" w:sz="0" w:space="0" w:color="auto"/>
                  </w:divBdr>
                </w:div>
                <w:div w:id="1193228513">
                  <w:marLeft w:val="0"/>
                  <w:marRight w:val="0"/>
                  <w:marTop w:val="0"/>
                  <w:marBottom w:val="0"/>
                  <w:divBdr>
                    <w:top w:val="none" w:sz="0" w:space="0" w:color="auto"/>
                    <w:left w:val="none" w:sz="0" w:space="0" w:color="auto"/>
                    <w:bottom w:val="none" w:sz="0" w:space="0" w:color="auto"/>
                    <w:right w:val="none" w:sz="0" w:space="0" w:color="auto"/>
                  </w:divBdr>
                </w:div>
                <w:div w:id="532228724">
                  <w:marLeft w:val="0"/>
                  <w:marRight w:val="0"/>
                  <w:marTop w:val="0"/>
                  <w:marBottom w:val="0"/>
                  <w:divBdr>
                    <w:top w:val="none" w:sz="0" w:space="0" w:color="auto"/>
                    <w:left w:val="none" w:sz="0" w:space="0" w:color="auto"/>
                    <w:bottom w:val="none" w:sz="0" w:space="0" w:color="auto"/>
                    <w:right w:val="none" w:sz="0" w:space="0" w:color="auto"/>
                  </w:divBdr>
                </w:div>
                <w:div w:id="895362937">
                  <w:marLeft w:val="0"/>
                  <w:marRight w:val="0"/>
                  <w:marTop w:val="0"/>
                  <w:marBottom w:val="0"/>
                  <w:divBdr>
                    <w:top w:val="none" w:sz="0" w:space="0" w:color="auto"/>
                    <w:left w:val="none" w:sz="0" w:space="0" w:color="auto"/>
                    <w:bottom w:val="none" w:sz="0" w:space="0" w:color="auto"/>
                    <w:right w:val="none" w:sz="0" w:space="0" w:color="auto"/>
                  </w:divBdr>
                </w:div>
                <w:div w:id="1805611596">
                  <w:marLeft w:val="0"/>
                  <w:marRight w:val="0"/>
                  <w:marTop w:val="0"/>
                  <w:marBottom w:val="0"/>
                  <w:divBdr>
                    <w:top w:val="none" w:sz="0" w:space="0" w:color="auto"/>
                    <w:left w:val="none" w:sz="0" w:space="0" w:color="auto"/>
                    <w:bottom w:val="none" w:sz="0" w:space="0" w:color="auto"/>
                    <w:right w:val="none" w:sz="0" w:space="0" w:color="auto"/>
                  </w:divBdr>
                </w:div>
                <w:div w:id="1868978479">
                  <w:marLeft w:val="0"/>
                  <w:marRight w:val="0"/>
                  <w:marTop w:val="0"/>
                  <w:marBottom w:val="0"/>
                  <w:divBdr>
                    <w:top w:val="none" w:sz="0" w:space="0" w:color="auto"/>
                    <w:left w:val="none" w:sz="0" w:space="0" w:color="auto"/>
                    <w:bottom w:val="none" w:sz="0" w:space="0" w:color="auto"/>
                    <w:right w:val="none" w:sz="0" w:space="0" w:color="auto"/>
                  </w:divBdr>
                </w:div>
                <w:div w:id="71394411">
                  <w:marLeft w:val="0"/>
                  <w:marRight w:val="0"/>
                  <w:marTop w:val="0"/>
                  <w:marBottom w:val="0"/>
                  <w:divBdr>
                    <w:top w:val="none" w:sz="0" w:space="0" w:color="auto"/>
                    <w:left w:val="none" w:sz="0" w:space="0" w:color="auto"/>
                    <w:bottom w:val="none" w:sz="0" w:space="0" w:color="auto"/>
                    <w:right w:val="none" w:sz="0" w:space="0" w:color="auto"/>
                  </w:divBdr>
                </w:div>
                <w:div w:id="117453022">
                  <w:marLeft w:val="0"/>
                  <w:marRight w:val="0"/>
                  <w:marTop w:val="0"/>
                  <w:marBottom w:val="0"/>
                  <w:divBdr>
                    <w:top w:val="none" w:sz="0" w:space="0" w:color="auto"/>
                    <w:left w:val="none" w:sz="0" w:space="0" w:color="auto"/>
                    <w:bottom w:val="none" w:sz="0" w:space="0" w:color="auto"/>
                    <w:right w:val="none" w:sz="0" w:space="0" w:color="auto"/>
                  </w:divBdr>
                </w:div>
                <w:div w:id="1359161131">
                  <w:marLeft w:val="0"/>
                  <w:marRight w:val="0"/>
                  <w:marTop w:val="0"/>
                  <w:marBottom w:val="0"/>
                  <w:divBdr>
                    <w:top w:val="none" w:sz="0" w:space="0" w:color="auto"/>
                    <w:left w:val="none" w:sz="0" w:space="0" w:color="auto"/>
                    <w:bottom w:val="none" w:sz="0" w:space="0" w:color="auto"/>
                    <w:right w:val="none" w:sz="0" w:space="0" w:color="auto"/>
                  </w:divBdr>
                </w:div>
                <w:div w:id="739406464">
                  <w:marLeft w:val="0"/>
                  <w:marRight w:val="0"/>
                  <w:marTop w:val="0"/>
                  <w:marBottom w:val="0"/>
                  <w:divBdr>
                    <w:top w:val="none" w:sz="0" w:space="0" w:color="auto"/>
                    <w:left w:val="none" w:sz="0" w:space="0" w:color="auto"/>
                    <w:bottom w:val="none" w:sz="0" w:space="0" w:color="auto"/>
                    <w:right w:val="none" w:sz="0" w:space="0" w:color="auto"/>
                  </w:divBdr>
                </w:div>
                <w:div w:id="1333532701">
                  <w:marLeft w:val="0"/>
                  <w:marRight w:val="0"/>
                  <w:marTop w:val="0"/>
                  <w:marBottom w:val="0"/>
                  <w:divBdr>
                    <w:top w:val="none" w:sz="0" w:space="0" w:color="auto"/>
                    <w:left w:val="none" w:sz="0" w:space="0" w:color="auto"/>
                    <w:bottom w:val="none" w:sz="0" w:space="0" w:color="auto"/>
                    <w:right w:val="none" w:sz="0" w:space="0" w:color="auto"/>
                  </w:divBdr>
                </w:div>
                <w:div w:id="818350658">
                  <w:marLeft w:val="0"/>
                  <w:marRight w:val="0"/>
                  <w:marTop w:val="0"/>
                  <w:marBottom w:val="0"/>
                  <w:divBdr>
                    <w:top w:val="none" w:sz="0" w:space="0" w:color="auto"/>
                    <w:left w:val="none" w:sz="0" w:space="0" w:color="auto"/>
                    <w:bottom w:val="none" w:sz="0" w:space="0" w:color="auto"/>
                    <w:right w:val="none" w:sz="0" w:space="0" w:color="auto"/>
                  </w:divBdr>
                </w:div>
                <w:div w:id="148257153">
                  <w:marLeft w:val="0"/>
                  <w:marRight w:val="0"/>
                  <w:marTop w:val="0"/>
                  <w:marBottom w:val="0"/>
                  <w:divBdr>
                    <w:top w:val="none" w:sz="0" w:space="0" w:color="auto"/>
                    <w:left w:val="none" w:sz="0" w:space="0" w:color="auto"/>
                    <w:bottom w:val="none" w:sz="0" w:space="0" w:color="auto"/>
                    <w:right w:val="none" w:sz="0" w:space="0" w:color="auto"/>
                  </w:divBdr>
                </w:div>
                <w:div w:id="892958971">
                  <w:marLeft w:val="0"/>
                  <w:marRight w:val="0"/>
                  <w:marTop w:val="0"/>
                  <w:marBottom w:val="0"/>
                  <w:divBdr>
                    <w:top w:val="none" w:sz="0" w:space="0" w:color="auto"/>
                    <w:left w:val="none" w:sz="0" w:space="0" w:color="auto"/>
                    <w:bottom w:val="none" w:sz="0" w:space="0" w:color="auto"/>
                    <w:right w:val="none" w:sz="0" w:space="0" w:color="auto"/>
                  </w:divBdr>
                </w:div>
                <w:div w:id="1917206129">
                  <w:marLeft w:val="0"/>
                  <w:marRight w:val="0"/>
                  <w:marTop w:val="0"/>
                  <w:marBottom w:val="0"/>
                  <w:divBdr>
                    <w:top w:val="none" w:sz="0" w:space="0" w:color="auto"/>
                    <w:left w:val="none" w:sz="0" w:space="0" w:color="auto"/>
                    <w:bottom w:val="none" w:sz="0" w:space="0" w:color="auto"/>
                    <w:right w:val="none" w:sz="0" w:space="0" w:color="auto"/>
                  </w:divBdr>
                </w:div>
                <w:div w:id="570623497">
                  <w:marLeft w:val="0"/>
                  <w:marRight w:val="0"/>
                  <w:marTop w:val="0"/>
                  <w:marBottom w:val="0"/>
                  <w:divBdr>
                    <w:top w:val="none" w:sz="0" w:space="0" w:color="auto"/>
                    <w:left w:val="none" w:sz="0" w:space="0" w:color="auto"/>
                    <w:bottom w:val="none" w:sz="0" w:space="0" w:color="auto"/>
                    <w:right w:val="none" w:sz="0" w:space="0" w:color="auto"/>
                  </w:divBdr>
                </w:div>
                <w:div w:id="2130777521">
                  <w:marLeft w:val="0"/>
                  <w:marRight w:val="0"/>
                  <w:marTop w:val="0"/>
                  <w:marBottom w:val="0"/>
                  <w:divBdr>
                    <w:top w:val="none" w:sz="0" w:space="0" w:color="auto"/>
                    <w:left w:val="none" w:sz="0" w:space="0" w:color="auto"/>
                    <w:bottom w:val="none" w:sz="0" w:space="0" w:color="auto"/>
                    <w:right w:val="none" w:sz="0" w:space="0" w:color="auto"/>
                  </w:divBdr>
                </w:div>
                <w:div w:id="707417148">
                  <w:marLeft w:val="0"/>
                  <w:marRight w:val="0"/>
                  <w:marTop w:val="0"/>
                  <w:marBottom w:val="0"/>
                  <w:divBdr>
                    <w:top w:val="none" w:sz="0" w:space="0" w:color="auto"/>
                    <w:left w:val="none" w:sz="0" w:space="0" w:color="auto"/>
                    <w:bottom w:val="none" w:sz="0" w:space="0" w:color="auto"/>
                    <w:right w:val="none" w:sz="0" w:space="0" w:color="auto"/>
                  </w:divBdr>
                </w:div>
                <w:div w:id="4837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527861">
          <w:marLeft w:val="0"/>
          <w:marRight w:val="0"/>
          <w:marTop w:val="0"/>
          <w:marBottom w:val="0"/>
          <w:divBdr>
            <w:top w:val="none" w:sz="0" w:space="0" w:color="auto"/>
            <w:left w:val="none" w:sz="0" w:space="0" w:color="auto"/>
            <w:bottom w:val="none" w:sz="0" w:space="0" w:color="auto"/>
            <w:right w:val="none" w:sz="0" w:space="0" w:color="auto"/>
          </w:divBdr>
        </w:div>
        <w:div w:id="1924993752">
          <w:marLeft w:val="0"/>
          <w:marRight w:val="0"/>
          <w:marTop w:val="0"/>
          <w:marBottom w:val="0"/>
          <w:divBdr>
            <w:top w:val="none" w:sz="0" w:space="0" w:color="auto"/>
            <w:left w:val="none" w:sz="0" w:space="0" w:color="auto"/>
            <w:bottom w:val="none" w:sz="0" w:space="0" w:color="auto"/>
            <w:right w:val="none" w:sz="0" w:space="0" w:color="auto"/>
          </w:divBdr>
          <w:divsChild>
            <w:div w:id="900336180">
              <w:marLeft w:val="0"/>
              <w:marRight w:val="0"/>
              <w:marTop w:val="0"/>
              <w:marBottom w:val="0"/>
              <w:divBdr>
                <w:top w:val="none" w:sz="0" w:space="0" w:color="auto"/>
                <w:left w:val="none" w:sz="0" w:space="0" w:color="auto"/>
                <w:bottom w:val="none" w:sz="0" w:space="0" w:color="auto"/>
                <w:right w:val="none" w:sz="0" w:space="0" w:color="auto"/>
              </w:divBdr>
              <w:divsChild>
                <w:div w:id="637881260">
                  <w:marLeft w:val="0"/>
                  <w:marRight w:val="0"/>
                  <w:marTop w:val="0"/>
                  <w:marBottom w:val="0"/>
                  <w:divBdr>
                    <w:top w:val="none" w:sz="0" w:space="0" w:color="auto"/>
                    <w:left w:val="none" w:sz="0" w:space="0" w:color="auto"/>
                    <w:bottom w:val="none" w:sz="0" w:space="0" w:color="auto"/>
                    <w:right w:val="none" w:sz="0" w:space="0" w:color="auto"/>
                  </w:divBdr>
                </w:div>
                <w:div w:id="903611718">
                  <w:marLeft w:val="0"/>
                  <w:marRight w:val="0"/>
                  <w:marTop w:val="0"/>
                  <w:marBottom w:val="0"/>
                  <w:divBdr>
                    <w:top w:val="none" w:sz="0" w:space="0" w:color="auto"/>
                    <w:left w:val="none" w:sz="0" w:space="0" w:color="auto"/>
                    <w:bottom w:val="none" w:sz="0" w:space="0" w:color="auto"/>
                    <w:right w:val="none" w:sz="0" w:space="0" w:color="auto"/>
                  </w:divBdr>
                </w:div>
                <w:div w:id="1165559161">
                  <w:marLeft w:val="0"/>
                  <w:marRight w:val="0"/>
                  <w:marTop w:val="0"/>
                  <w:marBottom w:val="0"/>
                  <w:divBdr>
                    <w:top w:val="none" w:sz="0" w:space="0" w:color="auto"/>
                    <w:left w:val="none" w:sz="0" w:space="0" w:color="auto"/>
                    <w:bottom w:val="none" w:sz="0" w:space="0" w:color="auto"/>
                    <w:right w:val="none" w:sz="0" w:space="0" w:color="auto"/>
                  </w:divBdr>
                </w:div>
                <w:div w:id="213935006">
                  <w:marLeft w:val="0"/>
                  <w:marRight w:val="0"/>
                  <w:marTop w:val="0"/>
                  <w:marBottom w:val="0"/>
                  <w:divBdr>
                    <w:top w:val="none" w:sz="0" w:space="0" w:color="auto"/>
                    <w:left w:val="none" w:sz="0" w:space="0" w:color="auto"/>
                    <w:bottom w:val="none" w:sz="0" w:space="0" w:color="auto"/>
                    <w:right w:val="none" w:sz="0" w:space="0" w:color="auto"/>
                  </w:divBdr>
                </w:div>
                <w:div w:id="1072194551">
                  <w:marLeft w:val="0"/>
                  <w:marRight w:val="0"/>
                  <w:marTop w:val="0"/>
                  <w:marBottom w:val="0"/>
                  <w:divBdr>
                    <w:top w:val="none" w:sz="0" w:space="0" w:color="auto"/>
                    <w:left w:val="none" w:sz="0" w:space="0" w:color="auto"/>
                    <w:bottom w:val="none" w:sz="0" w:space="0" w:color="auto"/>
                    <w:right w:val="none" w:sz="0" w:space="0" w:color="auto"/>
                  </w:divBdr>
                </w:div>
                <w:div w:id="54768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topics/social-sciences/secondary-school-studen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ciencedirect.com/topics/psychology/digital-media" TargetMode="External"/><Relationship Id="rId12" Type="http://schemas.openxmlformats.org/officeDocument/2006/relationships/hyperlink" Target="https://www.sciencedirect.com/topics/social-sciences/learning-experienc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ciencedirect.com/topics/psychology/digital-media" TargetMode="External"/><Relationship Id="rId11" Type="http://schemas.openxmlformats.org/officeDocument/2006/relationships/hyperlink" Target="https://www.sciencedirect.com/topics/social-sciences/digital-education" TargetMode="External"/><Relationship Id="rId5" Type="http://schemas.openxmlformats.org/officeDocument/2006/relationships/hyperlink" Target="https://s100.copyright.com/AppDispatchServlet?publisherName=ELS&amp;contentID=S0023969025000426&amp;orderBeanReset=true" TargetMode="External"/><Relationship Id="rId10" Type="http://schemas.openxmlformats.org/officeDocument/2006/relationships/hyperlink" Target="https://www.sciencedirect.com/topics/social-sciences/perceived-competence" TargetMode="External"/><Relationship Id="rId4" Type="http://schemas.openxmlformats.org/officeDocument/2006/relationships/hyperlink" Target="https://doi.org/10.1016/j.lmot.2025.102135" TargetMode="External"/><Relationship Id="rId9" Type="http://schemas.openxmlformats.org/officeDocument/2006/relationships/hyperlink" Target="https://www.sciencedirect.com/topics/social-sciences/structural-equation-model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3900</Words>
  <Characters>22232</Characters>
  <Application>Microsoft Office Word</Application>
  <DocSecurity>0</DocSecurity>
  <Lines>185</Lines>
  <Paragraphs>52</Paragraphs>
  <ScaleCrop>false</ScaleCrop>
  <Company/>
  <LinksUpToDate>false</LinksUpToDate>
  <CharactersWithSpaces>26080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2026-03-28T07:51:00Z</dcterms:created>
  <dcterms:modified xsi:type="dcterms:W3CDTF">2026-03-28T07:53:00Z</dcterms:modified>
</cp:coreProperties>
</file>